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0.png" ContentType="image/png"/>
  <Override PartName="/word/media/rId69.png" ContentType="image/png"/>
  <Override PartName="/word/media/rId66.png" ContentType="image/png"/>
  <Override PartName="/word/media/rId35.png" ContentType="image/png"/>
  <Override PartName="/word/media/rId38.png" ContentType="image/png"/>
  <Override PartName="/word/media/rId53.png" ContentType="image/png"/>
  <Override PartName="/word/media/rId92.png" ContentType="image/png"/>
  <Override PartName="/word/media/rId74.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2023-10-07</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(GHG)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GHG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This paper aims to describe the design, features and potential use of the CRUSE Tool.</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91"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2.5</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73"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beyond the terms of service of the free API.</w:t>
      </w:r>
    </w:p>
    <w:p>
      <w:pPr>
        <w:numPr>
          <w:ilvl w:val="0"/>
          <w:numId w:val="1002"/>
        </w:numPr>
        <w:pStyle w:val="Compact"/>
      </w:pPr>
      <w:r>
        <w:t xml:space="preserve">Making changes to the routing profiles, including allowing routing on trunk roads, which are sometimes avoided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cruse.bike/kildare/route-types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7% in cycle-friendly segments.</w:t>
      </w:r>
    </w:p>
    <w:p>
      <w:pPr>
        <w:numPr>
          <w:ilvl w:val="0"/>
          <w:numId w:val="1003"/>
        </w:numPr>
      </w:pPr>
      <w:r>
        <w:t xml:space="preserve">Under the baseline scenario, 52% of the distance cycled on the quietest network occurs in non-hostile segments and 15% in cycle-friendly segments.</w:t>
      </w:r>
    </w:p>
    <w:p>
      <w:pPr>
        <w:pStyle w:val="FirstParagraph"/>
      </w:pPr>
      <w:r>
        <w:t xml:space="preserve">These statistics can be revealing: in Kildare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p>
      <w:pPr>
        <w:pStyle w:val="BodyText"/>
      </w:pPr>
      <w:r>
        <w:t xml:space="preserve">TODO: Add description of route types in Naas based on local knowledge and</w:t>
      </w:r>
      <w:r>
        <w:t xml:space="preserve"> </w:t>
      </w:r>
      <w:hyperlink w:anchor="fig-route-type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72" w:name="fig-route-types"/>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2090507"/>
                        <wp:effectExtent b="0" l="0" r="0" t="0"/>
                        <wp:docPr descr="" title="" id="61" name="Picture"/>
                        <a:graphic>
                          <a:graphicData uri="http://schemas.openxmlformats.org/drawingml/2006/picture">
                            <pic:pic>
                              <pic:nvPicPr>
                                <pic:cNvPr descr="images/naas_quietest_godutch.png" id="62" name="Picture"/>
                                <pic:cNvPicPr>
                                  <a:picLocks noChangeArrowheads="1" noChangeAspect="1"/>
                                </pic:cNvPicPr>
                              </pic:nvPicPr>
                              <pic:blipFill>
                                <a:blip r:embed="rId60"/>
                                <a:stretch>
                                  <a:fillRect/>
                                </a:stretch>
                              </pic:blipFill>
                              <pic:spPr bwMode="auto">
                                <a:xfrm>
                                  <a:off x="0" y="0"/>
                                  <a:ext cx="2971800" cy="2090507"/>
                                </a:xfrm>
                                <a:prstGeom prst="rect">
                                  <a:avLst/>
                                </a:prstGeom>
                                <a:noFill/>
                                <a:ln w="9525">
                                  <a:noFill/>
                                  <a:headEnd/>
                                  <a:tailEnd/>
                                </a:ln>
                              </pic:spPr>
                            </pic:pic>
                          </a:graphicData>
                        </a:graphic>
                      </wp:inline>
                    </w:drawing>
                  </w:r>
                </w:p>
              </w:tc>
              <w:tc>
                <w:tcPr/>
                <w:p>
                  <w:pPr>
                    <w:jc w:val="center"/>
                    <w:jc w:val="center"/>
                  </w:pPr>
                  <w:r>
                    <w:drawing>
                      <wp:inline>
                        <wp:extent cx="2971800" cy="2090507"/>
                        <wp:effectExtent b="0" l="0" r="0" t="0"/>
                        <wp:docPr descr="" title="" id="64" name="Picture"/>
                        <a:graphic>
                          <a:graphicData uri="http://schemas.openxmlformats.org/drawingml/2006/picture">
                            <pic:pic>
                              <pic:nvPicPr>
                                <pic:cNvPr descr="images/naas_fastest_godutch.png" id="65" name="Picture"/>
                                <pic:cNvPicPr>
                                  <a:picLocks noChangeArrowheads="1" noChangeAspect="1"/>
                                </pic:cNvPicPr>
                              </pic:nvPicPr>
                              <pic:blipFill>
                                <a:blip r:embed="rId63"/>
                                <a:stretch>
                                  <a:fillRect/>
                                </a:stretch>
                              </pic:blipFill>
                              <pic:spPr bwMode="auto">
                                <a:xfrm>
                                  <a:off x="0" y="0"/>
                                  <a:ext cx="2971800" cy="209050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2090507"/>
                        <wp:effectExtent b="0" l="0" r="0" t="0"/>
                        <wp:docPr descr="" title="" id="67" name="Picture"/>
                        <a:graphic>
                          <a:graphicData uri="http://schemas.openxmlformats.org/drawingml/2006/picture">
                            <pic:pic>
                              <pic:nvPicPr>
                                <pic:cNvPr descr="images/newbridge_quietest_godutch.png" id="68" name="Picture"/>
                                <pic:cNvPicPr>
                                  <a:picLocks noChangeArrowheads="1" noChangeAspect="1"/>
                                </pic:cNvPicPr>
                              </pic:nvPicPr>
                              <pic:blipFill>
                                <a:blip r:embed="rId66"/>
                                <a:stretch>
                                  <a:fillRect/>
                                </a:stretch>
                              </pic:blipFill>
                              <pic:spPr bwMode="auto">
                                <a:xfrm>
                                  <a:off x="0" y="0"/>
                                  <a:ext cx="2971800" cy="2090507"/>
                                </a:xfrm>
                                <a:prstGeom prst="rect">
                                  <a:avLst/>
                                </a:prstGeom>
                                <a:noFill/>
                                <a:ln w="9525">
                                  <a:noFill/>
                                  <a:headEnd/>
                                  <a:tailEnd/>
                                </a:ln>
                              </pic:spPr>
                            </pic:pic>
                          </a:graphicData>
                        </a:graphic>
                      </wp:inline>
                    </w:drawing>
                  </w:r>
                </w:p>
              </w:tc>
              <w:tc>
                <w:tcPr/>
                <w:p>
                  <w:pPr>
                    <w:jc w:val="center"/>
                    <w:jc w:val="center"/>
                  </w:pPr>
                  <w:r>
                    <w:drawing>
                      <wp:inline>
                        <wp:extent cx="2971800" cy="2090507"/>
                        <wp:effectExtent b="0" l="0" r="0" t="0"/>
                        <wp:docPr descr="" title="" id="70" name="Picture"/>
                        <a:graphic>
                          <a:graphicData uri="http://schemas.openxmlformats.org/drawingml/2006/picture">
                            <pic:pic>
                              <pic:nvPicPr>
                                <pic:cNvPr descr="images/newbridge_fastest_godutch.png" id="71" name="Picture"/>
                                <pic:cNvPicPr>
                                  <a:picLocks noChangeArrowheads="1" noChangeAspect="1"/>
                                </pic:cNvPicPr>
                              </pic:nvPicPr>
                              <pic:blipFill>
                                <a:blip r:embed="rId69"/>
                                <a:stretch>
                                  <a:fillRect/>
                                </a:stretch>
                              </pic:blipFill>
                              <pic:spPr bwMode="auto">
                                <a:xfrm>
                                  <a:off x="0" y="0"/>
                                  <a:ext cx="2971800" cy="2090507"/>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Quietest (left) and Fastest (right) route networks for Naas (top) and Newbridge (bottom).</w:t>
            </w:r>
          </w:p>
          <w:bookmarkEnd w:id="72"/>
        </w:tc>
      </w:tr>
    </w:tbl>
    <w:bookmarkEnd w:id="73"/>
    <w:bookmarkStart w:id="85"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8" w:name="fig-scenarios"/>
          <w:p>
            <w:pPr>
              <w:jc w:val="center"/>
            </w:pPr>
            <w:r>
              <w:drawing>
                <wp:inline>
                  <wp:extent cx="5334000" cy="3766080"/>
                  <wp:effectExtent b="0" l="0" r="0" t="0"/>
                  <wp:docPr descr="" title="" id="75" name="Picture"/>
                  <a:graphic>
                    <a:graphicData uri="http://schemas.openxmlformats.org/drawingml/2006/picture">
                      <pic:pic>
                        <pic:nvPicPr>
                          <pic:cNvPr descr="images/scenarios_kildare.png" id="76" name="Picture"/>
                          <pic:cNvPicPr>
                            <a:picLocks noChangeArrowheads="1" noChangeAspect="1"/>
                          </pic:cNvPicPr>
                        </pic:nvPicPr>
                        <pic:blipFill>
                          <a:blip r:embed="rId74"/>
                          <a:stretch>
                            <a:fillRect/>
                          </a:stretch>
                        </pic:blipFill>
                        <pic:spPr bwMode="auto">
                          <a:xfrm>
                            <a:off x="0" y="0"/>
                            <a:ext cx="5334000" cy="3766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Kildare used to communicate the different scenarios.</w:t>
            </w:r>
            <w:r>
              <w:t xml:space="preserve"> </w:t>
            </w:r>
            <w:r>
              <w:t xml:space="preserve">Source: county level view for Kildare in the open access CRUSE Tool at</w:t>
            </w:r>
            <w:r>
              <w:t xml:space="preserve"> </w:t>
            </w:r>
            <w:hyperlink r:id="rId77">
              <w:r>
                <w:rPr>
                  <w:rStyle w:val="Hyperlink"/>
                </w:rPr>
                <w:t xml:space="preserve">https://cruse.bike/kildare</w:t>
              </w:r>
            </w:hyperlink>
            <w:r>
              <w:t xml:space="preserve">.</w:t>
            </w:r>
          </w:p>
          <w:bookmarkEnd w:id="78"/>
        </w:tc>
      </w:tr>
    </w:tbl>
    <w:bookmarkStart w:id="79"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9"/>
    <w:bookmarkStart w:id="80"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80"/>
    <w:bookmarkStart w:id="82"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81">
        <w:r>
          <w:rPr>
            <w:rStyle w:val="Hyperlink"/>
          </w:rPr>
          <w:t xml:space="preserve">Climate Action Plan 2021</w:t>
        </w:r>
      </w:hyperlink>
      <w:r>
        <w:t xml:space="preserve">, which contains policies for action to achieve a 51% reduction in overall GHG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82"/>
    <w:bookmarkStart w:id="83"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83"/>
    <w:bookmarkStart w:id="84" w:name="ebike"/>
    <w:p>
      <w:pPr>
        <w:pStyle w:val="Heading3"/>
      </w:pPr>
      <w:r>
        <w:t xml:space="preserve">2.4.5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84"/>
    <w:bookmarkEnd w:id="85"/>
    <w:bookmarkStart w:id="90" w:name="sec-ui"/>
    <w:p>
      <w:pPr>
        <w:pStyle w:val="Heading2"/>
      </w:pPr>
      <w:r>
        <w:t xml:space="preserve">2.5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9" w:name="fig-user-stories"/>
          <w:p>
            <w:pPr>
              <w:jc w:val="center"/>
            </w:pPr>
            <w:r>
              <w:drawing>
                <wp:inline>
                  <wp:extent cx="5334000" cy="3878035"/>
                  <wp:effectExtent b="0" l="0" r="0" t="0"/>
                  <wp:docPr descr="" title="" id="87" name="Picture"/>
                  <a:graphic>
                    <a:graphicData uri="http://schemas.openxmlformats.org/drawingml/2006/picture">
                      <pic:pic>
                        <pic:nvPicPr>
                          <pic:cNvPr descr="paper_files/figure-docx/mermaid-figure-1.png" id="88" name="Picture"/>
                          <pic:cNvPicPr>
                            <a:picLocks noChangeArrowheads="1" noChangeAspect="1"/>
                          </pic:cNvPicPr>
                        </pic:nvPicPr>
                        <pic:blipFill>
                          <a:blip r:embed="rId86"/>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9"/>
        </w:tc>
      </w:tr>
    </w:tbl>
    <w:bookmarkEnd w:id="90"/>
    <w:bookmarkEnd w:id="91"/>
    <w:bookmarkStart w:id="97"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95" w:name="fig-city-results"/>
          <w:p>
            <w:pPr>
              <w:jc w:val="center"/>
            </w:pPr>
            <w:r>
              <w:drawing>
                <wp:inline>
                  <wp:extent cx="5334000" cy="4445000"/>
                  <wp:effectExtent b="0" l="0" r="0" t="0"/>
                  <wp:docPr descr="" title="" id="93" name="Picture"/>
                  <a:graphic>
                    <a:graphicData uri="http://schemas.openxmlformats.org/drawingml/2006/picture">
                      <pic:pic>
                        <pic:nvPicPr>
                          <pic:cNvPr descr="images/rnet_types.png" id="94" name="Picture"/>
                          <pic:cNvPicPr>
                            <a:picLocks noChangeArrowheads="1" noChangeAspect="1"/>
                          </pic:cNvPicPr>
                        </pic:nvPicPr>
                        <pic:blipFill>
                          <a:blip r:embed="rId92"/>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95"/>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6"/>
      </w:r>
      <w:r>
        <w:t xml:space="preserve"> </w:t>
      </w:r>
      <w:r>
        <w:t xml:space="preserve">The results for the Dublin area could help prioritise investment in cycling infrastructure in the city.</w:t>
      </w:r>
    </w:p>
    <w:bookmarkEnd w:id="97"/>
    <w:bookmarkStart w:id="98"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key features that make it relevant for other countries, and other national road authorities tasked with making their transport systems safe:</w:t>
      </w:r>
    </w:p>
    <w:p>
      <w:pPr>
        <w:numPr>
          <w:ilvl w:val="0"/>
          <w:numId w:val="1005"/>
        </w:numPr>
        <w:pStyle w:val="Compact"/>
      </w:pPr>
      <w:r>
        <w:t xml:space="preserve">The results are</w:t>
      </w:r>
      <w:r>
        <w:t xml:space="preserve"> </w:t>
      </w:r>
      <w:r>
        <w:rPr>
          <w:iCs/>
          <w:i/>
        </w:rPr>
        <w:t xml:space="preserve">open access</w:t>
      </w:r>
      <w:r>
        <w:t xml:space="preserve"> </w:t>
      </w:r>
      <w:r>
        <w:t xml:space="preserve">meaning that any stakeholder in the planning system can access the evidence. This will help to democratise the transport planning process and make wider conversations about transport planning more evidence-based and less polarised</w:t>
      </w:r>
      <w:r>
        <w:t xml:space="preserve"> </w:t>
      </w:r>
      <w:r>
        <w:t xml:space="preserve">(Lovelace et al., 2020)</w:t>
      </w:r>
      <w:r>
        <w:t xml:space="preserve">, something that is particularly relevant given the potentially polarising nature of pro-cycling interventions</w:t>
      </w:r>
      <w:r>
        <w:t xml:space="preserve"> </w:t>
      </w:r>
      <w:r>
        <w:t xml:space="preserve">(Wild et al., 2017)</w:t>
      </w:r>
      <w:r>
        <w:t xml:space="preserve">.</w:t>
      </w:r>
    </w:p>
    <w:p>
      <w:pPr>
        <w:numPr>
          <w:ilvl w:val="0"/>
          <w:numId w:val="1005"/>
        </w:numPr>
        <w:pStyle w:val="Compact"/>
      </w:pPr>
      <w:r>
        <w:t xml:space="preserve">The results are fully reproducible (code to be released pending sign-off by TII’s IT team), preventing</w:t>
      </w:r>
      <w:r>
        <w:t xml:space="preserve"> </w:t>
      </w:r>
      <w:r>
        <w:t xml:space="preserve">‘</w:t>
      </w:r>
      <w:r>
        <w:t xml:space="preserve">cloud lock in</w:t>
      </w:r>
      <w:r>
        <w:t xml:space="preserve">’</w:t>
      </w:r>
      <w:r>
        <w:t xml:space="preserve"> </w:t>
      </w:r>
      <w:r>
        <w:t xml:space="preserve">to a potentially monopolistic consultancy, and encouraging input from the wider open source community</w:t>
      </w:r>
      <w:r>
        <w:t xml:space="preserve"> </w:t>
      </w:r>
      <w:r>
        <w:t xml:space="preserve">(Dhir &amp; Dhir, 2017; Lovelace, 2021)</w:t>
      </w:r>
      <w:r>
        <w:t xml:space="preserve">.</w:t>
      </w:r>
    </w:p>
    <w:p>
      <w:pPr>
        <w:numPr>
          <w:ilvl w:val="0"/>
          <w:numId w:val="1005"/>
        </w:numPr>
        <w:pStyle w:val="Compact"/>
      </w:pPr>
      <w:r>
        <w:t xml:space="preserve">By covering a wide range of trip purposes — not just travel to work</w:t>
      </w:r>
      <w:r>
        <w:t xml:space="preserve"> </w:t>
      </w:r>
      <w:r>
        <w:t xml:space="preserve">(Heinen et al., 2010; Lovelace et al., 2017)</w:t>
      </w:r>
      <w:r>
        <w:t xml:space="preserve"> </w:t>
      </w:r>
      <w:r>
        <w:t xml:space="preserve">and travel school</w:t>
      </w:r>
      <w:r>
        <w:t xml:space="preserve"> </w:t>
      </w:r>
      <w:r>
        <w:t xml:space="preserve">(Goodman et al., 2019)</w:t>
      </w:r>
      <w:r>
        <w:t xml:space="preserve"> </w:t>
      </w:r>
      <w:r>
        <w:t xml:space="preserve">as covered in previously published research on open access national cycle netework planning tools — the results capture a higher proportion of cycling potential including key rural trips which are often under-represented in models of active travel.</w:t>
      </w:r>
    </w:p>
    <w:bookmarkEnd w:id="98"/>
    <w:bookmarkStart w:id="100" w:name="sec-conclusions"/>
    <w:p>
      <w:pPr>
        <w:pStyle w:val="Heading1"/>
      </w:pPr>
      <w:r>
        <w:t xml:space="preserve">5. Conclusions</w:t>
      </w:r>
    </w:p>
    <w:p>
      <w:pPr>
        <w:pStyle w:val="FirstParagraph"/>
      </w:pPr>
      <w:r>
        <w:t xml:space="preserve">The CRUSE Tool is an open access web application for strategic cycle network planning and prioritisation of road safety interventions across Ireland.</w:t>
      </w:r>
      <w:r>
        <w:t xml:space="preserve"> </w:t>
      </w:r>
      <w:r>
        <w:t xml:space="preserve">Building on previous work, it provides a nationally consistent evidence base, providing valuable insights to planners and other stakeholders in the transport planning process, at national and local levels.</w:t>
      </w:r>
      <w:r>
        <w:t xml:space="preserve"> </w:t>
      </w:r>
      <w:r>
        <w:t xml:space="preserve">Because the results are available at the route segment level, the tool can be used to identify</w:t>
      </w:r>
      <w:r>
        <w:t xml:space="preserve"> </w:t>
      </w:r>
      <w:r>
        <w:t xml:space="preserve">‘</w:t>
      </w:r>
      <w:r>
        <w:t xml:space="preserve">weak links</w:t>
      </w:r>
      <w:r>
        <w:t xml:space="preserve">’</w:t>
      </w:r>
      <w:r>
        <w:t xml:space="preserve"> </w:t>
      </w:r>
      <w:r>
        <w:t xml:space="preserve">in the cycle network, and to prioritise investment in cycling infrastructure.</w:t>
      </w:r>
      <w:r>
        <w:t xml:space="preserve"> </w:t>
      </w:r>
      <w:r>
        <w:t xml:space="preserve">Furthermore, the provision of the evidence in a free and publicly available website, hosted at</w:t>
      </w:r>
      <w:r>
        <w:t xml:space="preserve"> </w:t>
      </w:r>
      <w:hyperlink r:id="rId99">
        <w:r>
          <w:rPr>
            <w:rStyle w:val="Hyperlink"/>
          </w:rPr>
          <w:t xml:space="preserve">cruse.bike</w:t>
        </w:r>
      </w:hyperlink>
      <w:r>
        <w:t xml:space="preserve">, means that it can be used by anyone, encouraging wider participation and more evidence-based debate about transport planning.</w:t>
      </w:r>
    </w:p>
    <w:p>
      <w:pPr>
        <w:pStyle w:val="BodyText"/>
      </w:pPr>
      <w:r>
        <w:t xml:space="preserve">A key feature of the project methodologically is its calculation of current and future potential not only for travel to work and travel to school, but also for other trip purposes, including recreational trips.</w:t>
      </w:r>
      <w:r>
        <w:t xml:space="preserve"> </w:t>
      </w:r>
      <w:r>
        <w:t xml:space="preserve">This required the development of spatial interaction models and estimation of the relative attractiveness of different destinations for different trip purposes, an area of active research where new developments could be incorporated into the tool in future</w:t>
      </w:r>
      <w:r>
        <w:t xml:space="preserve"> </w:t>
      </w:r>
      <w:r>
        <w:t xml:space="preserve">(Hasova et al., 2022)</w:t>
      </w:r>
      <w:r>
        <w:t xml:space="preserve">.</w:t>
      </w:r>
    </w:p>
    <w:p>
      <w:pPr>
        <w:pStyle w:val="BodyText"/>
      </w:pPr>
      <w:r>
        <w:t xml:space="preserve">The CRUSE Tool and the underlying research and methods are not without limitations, suggesting future areas of research, data collection needs, and policy application.</w:t>
      </w:r>
      <w:r>
        <w:t xml:space="preserve"> </w:t>
      </w:r>
      <w:r>
        <w:t xml:space="preserve">The route network level results have not been validated to the extent we had planned at the outset of the project.</w:t>
      </w:r>
      <w:r>
        <w:t xml:space="preserve"> </w:t>
      </w:r>
      <w:r>
        <w:t xml:space="preserve">We compared route network level results with</w:t>
      </w:r>
      <w:r>
        <w:t xml:space="preserve"> </w:t>
      </w:r>
      <w:r>
        <w:t xml:space="preserve">‘</w:t>
      </w:r>
      <w:r>
        <w:t xml:space="preserve">ground truth</w:t>
      </w:r>
      <w:r>
        <w:t xml:space="preserve">’</w:t>
      </w:r>
      <w:r>
        <w:t xml:space="preserve"> </w:t>
      </w:r>
      <w:r>
        <w:t xml:space="preserve">data from cycle counter datasets across Dublin to test different network types and to ensure that additional trip types added to work and educational trips increased the quality of fit under the baseline scenario.</w:t>
      </w:r>
      <w:r>
        <w:t xml:space="preserve"> </w:t>
      </w:r>
      <w:r>
        <w:t xml:space="preserve">However, the size of the counter network was insufficient to provide an opportunity for robust evaluation of model performance, suggesting a combined program of new count data collection and analysis should be a priority for future work, with findings feeding directly into work to improve the outputs of the the CRUSE Tool.</w:t>
      </w:r>
    </w:p>
    <w:p>
      <w:pPr>
        <w:pStyle w:val="BodyText"/>
      </w:pPr>
      <w:r>
        <w:t xml:space="preserve">More broadly, the tool’s outputs are limited to just one more of active travel (cycling), ignoring walking and wheeling, including wheelchair use and a range of wheeled devices such as scooters, bike trailers and e-cargo bikes that can be used to escort children to school.</w:t>
      </w:r>
      <w:r>
        <w:t xml:space="preserve"> </w:t>
      </w:r>
      <w:r>
        <w:t xml:space="preserve">Sustainable transport policies should plan for walking, wheeling and cycling, and there are many co-benefits of broadly defined active travel interventions that benefit all active modes, such as measures to reduce heavy motor traffic speeds and volumes in areas and along corridors with high active travel potential.</w:t>
      </w:r>
      <w:r>
        <w:t xml:space="preserve"> </w:t>
      </w:r>
      <w:r>
        <w:t xml:space="preserve">This raises the question of whether other active modes should be incorporated into the results using the OD-based approach outlined in this paper, or whether different modelling approaches are needed to properly capture the shorter distance trips typically made by walking</w:t>
      </w:r>
      <w:r>
        <w:t xml:space="preserve"> </w:t>
      </w:r>
      <w:r>
        <w:t xml:space="preserve">(Cooper, 2018)</w:t>
      </w:r>
      <w:r>
        <w:t xml:space="preserve">.</w:t>
      </w:r>
      <w:r>
        <w:t xml:space="preserve"> </w:t>
      </w:r>
      <w:r>
        <w:t xml:space="preserve">Furthermore, the estimates of cycling presented in the CRUSE Tool omit multi-modal trips including public transport, and omit trip chaining, due to the need to capture a large portion of cycling potential within the resource constraints of the project.</w:t>
      </w:r>
    </w:p>
    <w:p>
      <w:pPr>
        <w:pStyle w:val="BodyText"/>
      </w:pPr>
      <w:r>
        <w:t xml:space="preserve">The CRUSE Tool is already used in practice to support more ambitious and data-driven planning for safe cycling routes in multiple counties across Ireland.</w:t>
      </w:r>
      <w:r>
        <w:t xml:space="preserve"> </w:t>
      </w:r>
      <w:r>
        <w:t xml:space="preserve">We hope that the underlying approach, and the publicly available evidence provided in the CRUSE Tool itself, provide a basis for future reproducible research, open source software development into strategic cycle network planning tools in Ireland and other countries.</w:t>
      </w:r>
      <w:r>
        <w:t xml:space="preserve"> </w:t>
      </w:r>
      <w:r>
        <w:t xml:space="preserve">Active travel represents a win-win-win for physical activity, environment, and local economic opportunities.</w:t>
      </w:r>
      <w:r>
        <w:t xml:space="preserve"> </w:t>
      </w:r>
      <w:r>
        <w:t xml:space="preserve">In combination with broader sustainable mobility measures and policies to reduce motor traffic speeds and volumes, tools such as CRUSE can support the fast and fair decarbonisation of transport systems worldwide.</w:t>
      </w:r>
    </w:p>
    <w:bookmarkEnd w:id="100"/>
    <w:bookmarkStart w:id="101"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GHG: Greehouse Gas</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101"/>
    <w:bookmarkStart w:id="156" w:name="declarations"/>
    <w:p>
      <w:pPr>
        <w:pStyle w:val="Heading1"/>
      </w:pPr>
      <w:r>
        <w:t xml:space="preserve">7. Declarations</w:t>
      </w:r>
    </w:p>
    <w:bookmarkStart w:id="102"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102"/>
    <w:bookmarkStart w:id="103" w:name="funding"/>
    <w:p>
      <w:pPr>
        <w:pStyle w:val="Heading2"/>
      </w:pPr>
      <w:r>
        <w:t xml:space="preserve">Funding</w:t>
      </w:r>
    </w:p>
    <w:p>
      <w:pPr>
        <w:pStyle w:val="FirstParagraph"/>
      </w:pPr>
      <w:r>
        <w:t xml:space="preserve">The work was funded by Transport Infrastructure Ireland (TII).</w:t>
      </w:r>
    </w:p>
    <w:bookmarkEnd w:id="103"/>
    <w:bookmarkStart w:id="104"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r>
        <w:t xml:space="preserve"> </w:t>
      </w:r>
      <w:r>
        <w:t xml:space="preserve">Thanks to Martin Lucas-Smith and Simon Nutall from CycleStreets for their input into the project.</w:t>
      </w:r>
    </w:p>
    <w:bookmarkEnd w:id="104"/>
    <w:bookmarkStart w:id="105" w:name="competing-interests"/>
    <w:p>
      <w:pPr>
        <w:pStyle w:val="Heading2"/>
      </w:pPr>
      <w:r>
        <w:t xml:space="preserve">Competing interests</w:t>
      </w:r>
    </w:p>
    <w:p>
      <w:pPr>
        <w:pStyle w:val="FirstParagraph"/>
      </w:pPr>
      <w:r>
        <w:t xml:space="preserve">The authors declare that they have no competing interests.</w:t>
      </w:r>
    </w:p>
    <w:bookmarkEnd w:id="105"/>
    <w:bookmarkStart w:id="155"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54" w:name="refs"/>
    <w:bookmarkStart w:id="107"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106">
        <w:r>
          <w:rPr>
            <w:rStyle w:val="Hyperlink"/>
          </w:rPr>
          <w:t xml:space="preserve">https://www.creds.ac.uk/publications/shifting-the-focus-4-transport-mobility/</w:t>
        </w:r>
      </w:hyperlink>
    </w:p>
    <w:bookmarkEnd w:id="107"/>
    <w:bookmarkStart w:id="108"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8"/>
    <w:bookmarkStart w:id="110"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9">
        <w:r>
          <w:rPr>
            <w:rStyle w:val="Hyperlink"/>
          </w:rPr>
          <w:t xml:space="preserve">http://dx.doi.org/10.1038/497181a 10.1038/497181a</w:t>
        </w:r>
      </w:hyperlink>
    </w:p>
    <w:bookmarkEnd w:id="110"/>
    <w:bookmarkStart w:id="112"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11">
        <w:r>
          <w:rPr>
            <w:rStyle w:val="Hyperlink"/>
          </w:rPr>
          <w:t xml:space="preserve">https://doi.org/10.1016/j.trd.2012.04.001</w:t>
        </w:r>
      </w:hyperlink>
    </w:p>
    <w:bookmarkEnd w:id="112"/>
    <w:bookmarkStart w:id="114" w:name="ref-cooper2018"/>
    <w:p>
      <w:pPr>
        <w:pStyle w:val="Bibliography"/>
      </w:pPr>
      <w:r>
        <w:t xml:space="preserve">Cooper, C. H. V. (2018). Predictive spatial network analysis for high-resolution transport modeling, applied to cyclist flows, mode choice, and targeting investment.</w:t>
      </w:r>
      <w:r>
        <w:t xml:space="preserve"> </w:t>
      </w:r>
      <w:r>
        <w:rPr>
          <w:iCs/>
          <w:i/>
        </w:rPr>
        <w:t xml:space="preserve">International Journal of Sustainable Transportation</w:t>
      </w:r>
      <w:r>
        <w:t xml:space="preserve">,</w:t>
      </w:r>
      <w:r>
        <w:t xml:space="preserve"> </w:t>
      </w:r>
      <w:r>
        <w:rPr>
          <w:iCs/>
          <w:i/>
        </w:rPr>
        <w:t xml:space="preserve">0</w:t>
      </w:r>
      <w:r>
        <w:t xml:space="preserve">(0), 1–11.</w:t>
      </w:r>
      <w:r>
        <w:t xml:space="preserve"> </w:t>
      </w:r>
      <w:hyperlink r:id="rId113">
        <w:r>
          <w:rPr>
            <w:rStyle w:val="Hyperlink"/>
          </w:rPr>
          <w:t xml:space="preserve">https://doi.org/10.1080/15568318.2018.1432730</w:t>
        </w:r>
      </w:hyperlink>
    </w:p>
    <w:bookmarkEnd w:id="114"/>
    <w:bookmarkStart w:id="116" w:name="ref-cycling2017"/>
    <w:p>
      <w:pPr>
        <w:pStyle w:val="Bibliography"/>
      </w:pPr>
      <w:r>
        <w:rPr>
          <w:iCs/>
          <w:i/>
        </w:rPr>
        <w:t xml:space="preserve">Cycling and walking investment strategy</w:t>
      </w:r>
      <w:r>
        <w:t xml:space="preserve">. (2017).</w:t>
      </w:r>
      <w:r>
        <w:t xml:space="preserve"> </w:t>
      </w:r>
      <w:hyperlink r:id="rId115">
        <w:r>
          <w:rPr>
            <w:rStyle w:val="Hyperlink"/>
          </w:rPr>
          <w:t xml:space="preserve">https://www.gov.uk/government/publications/cycling-and-walking-investment-strategy</w:t>
        </w:r>
      </w:hyperlink>
    </w:p>
    <w:bookmarkEnd w:id="116"/>
    <w:bookmarkStart w:id="118" w:name="ref-dhir2017"/>
    <w:p>
      <w:pPr>
        <w:pStyle w:val="Bibliography"/>
      </w:pPr>
      <w:r>
        <w:t xml:space="preserve">Dhir, S., &amp; Dhir, S. (2017). Adoption of open-source software versus proprietary software: An exploratory study.</w:t>
      </w:r>
      <w:r>
        <w:t xml:space="preserve"> </w:t>
      </w:r>
      <w:r>
        <w:rPr>
          <w:iCs/>
          <w:i/>
        </w:rPr>
        <w:t xml:space="preserve">Strategic Change</w:t>
      </w:r>
      <w:r>
        <w:t xml:space="preserve">,</w:t>
      </w:r>
      <w:r>
        <w:t xml:space="preserve"> </w:t>
      </w:r>
      <w:r>
        <w:rPr>
          <w:iCs/>
          <w:i/>
        </w:rPr>
        <w:t xml:space="preserve">26</w:t>
      </w:r>
      <w:r>
        <w:t xml:space="preserve">(4), 363–371.</w:t>
      </w:r>
      <w:r>
        <w:t xml:space="preserve"> </w:t>
      </w:r>
      <w:hyperlink r:id="rId117">
        <w:r>
          <w:rPr>
            <w:rStyle w:val="Hyperlink"/>
          </w:rPr>
          <w:t xml:space="preserve">https://doi.org/10.1002/jsc.2137</w:t>
        </w:r>
      </w:hyperlink>
    </w:p>
    <w:bookmarkEnd w:id="118"/>
    <w:bookmarkStart w:id="119"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19"/>
    <w:bookmarkStart w:id="121"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20">
        <w:r>
          <w:rPr>
            <w:rStyle w:val="Hyperlink"/>
          </w:rPr>
          <w:t xml:space="preserve">https://doi.org/10.1016/j.jth.2019.01.008</w:t>
        </w:r>
      </w:hyperlink>
    </w:p>
    <w:bookmarkEnd w:id="121"/>
    <w:bookmarkStart w:id="123"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22">
        <w:r>
          <w:rPr>
            <w:rStyle w:val="Hyperlink"/>
          </w:rPr>
          <w:t xml:space="preserve">https://doi.org/10.1016/S0743-0167(00)00035-8</w:t>
        </w:r>
      </w:hyperlink>
    </w:p>
    <w:bookmarkEnd w:id="123"/>
    <w:bookmarkStart w:id="125" w:name="ref-hasova2022"/>
    <w:p>
      <w:pPr>
        <w:pStyle w:val="Bibliography"/>
      </w:pPr>
      <w:r>
        <w:t xml:space="preserve">Hasova, L., Tranos, E., &amp; Wolf, L. J. (2022).</w:t>
      </w:r>
      <w:r>
        <w:t xml:space="preserve"> </w:t>
      </w:r>
      <w:r>
        <w:rPr>
          <w:iCs/>
          <w:i/>
        </w:rPr>
        <w:t xml:space="preserve">Form and function in spatial interaction: A new approach to spatial structure</w:t>
      </w:r>
      <w:r>
        <w:t xml:space="preserve">.</w:t>
      </w:r>
      <w:r>
        <w:t xml:space="preserve"> </w:t>
      </w:r>
      <w:hyperlink r:id="rId124">
        <w:r>
          <w:rPr>
            <w:rStyle w:val="Hyperlink"/>
          </w:rPr>
          <w:t xml:space="preserve">https://lenkahas.com/files/preprint.pdf</w:t>
        </w:r>
      </w:hyperlink>
    </w:p>
    <w:bookmarkEnd w:id="125"/>
    <w:bookmarkStart w:id="127" w:name="ref-heinen2010"/>
    <w:p>
      <w:pPr>
        <w:pStyle w:val="Bibliography"/>
      </w:pPr>
      <w:r>
        <w:t xml:space="preserve">Heinen, E., Wee, B. van, &amp; Maat, K. (2010). Commuting by bicycle: An overview of the literature.</w:t>
      </w:r>
      <w:r>
        <w:t xml:space="preserve"> </w:t>
      </w:r>
      <w:r>
        <w:rPr>
          <w:iCs/>
          <w:i/>
        </w:rPr>
        <w:t xml:space="preserve">Transport Reviews</w:t>
      </w:r>
      <w:r>
        <w:t xml:space="preserve">,</w:t>
      </w:r>
      <w:r>
        <w:t xml:space="preserve"> </w:t>
      </w:r>
      <w:r>
        <w:rPr>
          <w:iCs/>
          <w:i/>
        </w:rPr>
        <w:t xml:space="preserve">30</w:t>
      </w:r>
      <w:r>
        <w:t xml:space="preserve">(1), 5996.</w:t>
      </w:r>
      <w:r>
        <w:t xml:space="preserve"> </w:t>
      </w:r>
      <w:hyperlink r:id="rId126">
        <w:r>
          <w:rPr>
            <w:rStyle w:val="Hyperlink"/>
          </w:rPr>
          <w:t xml:space="preserve">https://doi.org/10.1080/01441640903187001</w:t>
        </w:r>
      </w:hyperlink>
    </w:p>
    <w:bookmarkEnd w:id="127"/>
    <w:bookmarkStart w:id="129"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28">
        <w:r>
          <w:rPr>
            <w:rStyle w:val="Hyperlink"/>
          </w:rPr>
          <w:t xml:space="preserve">https://www.ipcc.ch/report/ar6/wg3/downloads/report/IPCC_AR6_WGIII_Chapter10.pdf</w:t>
        </w:r>
      </w:hyperlink>
    </w:p>
    <w:bookmarkEnd w:id="129"/>
    <w:bookmarkStart w:id="131"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30">
        <w:r>
          <w:rPr>
            <w:rStyle w:val="Hyperlink"/>
          </w:rPr>
          <w:t xml:space="preserve">http://eprints.whiterose.ac.uk/100080/</w:t>
        </w:r>
      </w:hyperlink>
    </w:p>
    <w:bookmarkEnd w:id="131"/>
    <w:bookmarkStart w:id="133" w:name="ref-lovelace2021"/>
    <w:p>
      <w:pPr>
        <w:pStyle w:val="Bibliography"/>
      </w:pPr>
      <w:r>
        <w:t xml:space="preserve">Lovelace, R. (2021). Open source tools for geographic analysis in transport planning.</w:t>
      </w:r>
      <w:r>
        <w:t xml:space="preserve"> </w:t>
      </w:r>
      <w:r>
        <w:rPr>
          <w:iCs/>
          <w:i/>
        </w:rPr>
        <w:t xml:space="preserve">Journal of Geographical Systems</w:t>
      </w:r>
      <w:r>
        <w:t xml:space="preserve">.</w:t>
      </w:r>
      <w:r>
        <w:t xml:space="preserve"> </w:t>
      </w:r>
      <w:hyperlink r:id="rId132">
        <w:r>
          <w:rPr>
            <w:rStyle w:val="Hyperlink"/>
          </w:rPr>
          <w:t xml:space="preserve">https://doi.org/10.1007/s10109-020-00342-2</w:t>
        </w:r>
      </w:hyperlink>
    </w:p>
    <w:bookmarkEnd w:id="133"/>
    <w:bookmarkStart w:id="135"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34">
        <w:r>
          <w:rPr>
            <w:rStyle w:val="Hyperlink"/>
          </w:rPr>
          <w:t xml:space="preserve">https://doi.org/10.32866/001c.33873</w:t>
        </w:r>
      </w:hyperlink>
    </w:p>
    <w:bookmarkEnd w:id="135"/>
    <w:bookmarkStart w:id="137"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36">
        <w:r>
          <w:rPr>
            <w:rStyle w:val="Hyperlink"/>
          </w:rPr>
          <w:t xml:space="preserve">https://doi.org/10.5198/jtlu.2016.862</w:t>
        </w:r>
      </w:hyperlink>
    </w:p>
    <w:bookmarkEnd w:id="137"/>
    <w:bookmarkStart w:id="139"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38">
        <w:r>
          <w:rPr>
            <w:rStyle w:val="Hyperlink"/>
          </w:rPr>
          <w:t xml:space="preserve">https://doi.org/10.1016/j.tranpol.2020.06.015</w:t>
        </w:r>
      </w:hyperlink>
    </w:p>
    <w:bookmarkEnd w:id="139"/>
    <w:bookmarkStart w:id="141"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40">
        <w:r>
          <w:rPr>
            <w:rStyle w:val="Hyperlink"/>
          </w:rPr>
          <w:t xml:space="preserve">https://doi.org/10.1177/0042098009349773</w:t>
        </w:r>
      </w:hyperlink>
    </w:p>
    <w:bookmarkEnd w:id="141"/>
    <w:bookmarkStart w:id="143"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42">
        <w:r>
          <w:rPr>
            <w:rStyle w:val="Hyperlink"/>
          </w:rPr>
          <w:t xml:space="preserve">https://doi.org/10.1016/j.jtrangeo.2020.102704</w:t>
        </w:r>
      </w:hyperlink>
    </w:p>
    <w:bookmarkEnd w:id="143"/>
    <w:bookmarkStart w:id="145"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44">
        <w:r>
          <w:rPr>
            <w:rStyle w:val="Hyperlink"/>
          </w:rPr>
          <w:t xml:space="preserve">https://www.icevirtuallibrary.com/isbn/9780727763495</w:t>
        </w:r>
      </w:hyperlink>
    </w:p>
    <w:bookmarkEnd w:id="145"/>
    <w:bookmarkStart w:id="146"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46"/>
    <w:bookmarkStart w:id="147"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47"/>
    <w:bookmarkStart w:id="149" w:name="ref-wild2017"/>
    <w:p>
      <w:pPr>
        <w:pStyle w:val="Bibliography"/>
      </w:pPr>
      <w:r>
        <w:t xml:space="preserve">Wild, K., Woodward, A., Field, A., &amp; Macmillan, A. (2017). Beyond</w:t>
      </w:r>
      <w:r>
        <w:t xml:space="preserve"> </w:t>
      </w:r>
      <w:r>
        <w:t xml:space="preserve">‘</w:t>
      </w:r>
      <w:r>
        <w:t xml:space="preserve">bikelash</w:t>
      </w:r>
      <w:r>
        <w:t xml:space="preserve">’</w:t>
      </w:r>
      <w:r>
        <w:t xml:space="preserve">: Engaging with community opposition to cycle lanes.</w:t>
      </w:r>
      <w:r>
        <w:t xml:space="preserve"> </w:t>
      </w:r>
      <w:r>
        <w:rPr>
          <w:iCs/>
          <w:i/>
        </w:rPr>
        <w:t xml:space="preserve">Mobilities</w:t>
      </w:r>
      <w:r>
        <w:t xml:space="preserve">, 1–15.</w:t>
      </w:r>
      <w:r>
        <w:t xml:space="preserve"> </w:t>
      </w:r>
      <w:hyperlink r:id="rId148">
        <w:r>
          <w:rPr>
            <w:rStyle w:val="Hyperlink"/>
          </w:rPr>
          <w:t xml:space="preserve">https://doi.org/10.1080/17450101.2017.1408950</w:t>
        </w:r>
      </w:hyperlink>
    </w:p>
    <w:bookmarkEnd w:id="149"/>
    <w:bookmarkStart w:id="151"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50">
        <w:r>
          <w:rPr>
            <w:rStyle w:val="Hyperlink"/>
          </w:rPr>
          <w:t xml:space="preserve">https://doi.org/10.1371/journal.pmed.1002622</w:t>
        </w:r>
      </w:hyperlink>
    </w:p>
    <w:bookmarkEnd w:id="151"/>
    <w:bookmarkStart w:id="153"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52">
        <w:r>
          <w:rPr>
            <w:rStyle w:val="Hyperlink"/>
          </w:rPr>
          <w:t xml:space="preserve">https://doi.org/10.1016/j.jth.2021.101066</w:t>
        </w:r>
      </w:hyperlink>
    </w:p>
    <w:bookmarkEnd w:id="153"/>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6">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hyperlink" Id="rId109" Target="http://dx.doi.org/10.1038/497181a 10.1038/497181a" TargetMode="External" /><Relationship Type="http://schemas.openxmlformats.org/officeDocument/2006/relationships/hyperlink" Id="rId130"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9" Target="https://cruse.bike" TargetMode="External" /><Relationship Type="http://schemas.openxmlformats.org/officeDocument/2006/relationships/hyperlink" Id="rId20" Target="https://cruse.bike/" TargetMode="External" /><Relationship Type="http://schemas.openxmlformats.org/officeDocument/2006/relationships/hyperlink" Id="rId77" Target="https://cruse.bike/kildare" TargetMode="External" /><Relationship Type="http://schemas.openxmlformats.org/officeDocument/2006/relationships/hyperlink" Id="rId59" Target="https://cruse.bike/kildare/route-types" TargetMode="External" /><Relationship Type="http://schemas.openxmlformats.org/officeDocument/2006/relationships/hyperlink" Id="rId117" Target="https://doi.org/10.1002/jsc.2137" TargetMode="External" /><Relationship Type="http://schemas.openxmlformats.org/officeDocument/2006/relationships/hyperlink" Id="rId132" Target="https://doi.org/10.1007/s10109-020-00342-2" TargetMode="External" /><Relationship Type="http://schemas.openxmlformats.org/officeDocument/2006/relationships/hyperlink" Id="rId122" Target="https://doi.org/10.1016/S0743-0167(00)00035-8" TargetMode="External" /><Relationship Type="http://schemas.openxmlformats.org/officeDocument/2006/relationships/hyperlink" Id="rId120" Target="https://doi.org/10.1016/j.jth.2019.01.008" TargetMode="External" /><Relationship Type="http://schemas.openxmlformats.org/officeDocument/2006/relationships/hyperlink" Id="rId152" Target="https://doi.org/10.1016/j.jth.2021.101066" TargetMode="External" /><Relationship Type="http://schemas.openxmlformats.org/officeDocument/2006/relationships/hyperlink" Id="rId142" Target="https://doi.org/10.1016/j.jtrangeo.2020.102704" TargetMode="External" /><Relationship Type="http://schemas.openxmlformats.org/officeDocument/2006/relationships/hyperlink" Id="rId138" Target="https://doi.org/10.1016/j.tranpol.2020.06.015" TargetMode="External" /><Relationship Type="http://schemas.openxmlformats.org/officeDocument/2006/relationships/hyperlink" Id="rId111" Target="https://doi.org/10.1016/j.trd.2012.04.001" TargetMode="External" /><Relationship Type="http://schemas.openxmlformats.org/officeDocument/2006/relationships/hyperlink" Id="rId126" Target="https://doi.org/10.1080/01441640903187001" TargetMode="External" /><Relationship Type="http://schemas.openxmlformats.org/officeDocument/2006/relationships/hyperlink" Id="rId113" Target="https://doi.org/10.1080/15568318.2018.1432730" TargetMode="External" /><Relationship Type="http://schemas.openxmlformats.org/officeDocument/2006/relationships/hyperlink" Id="rId148" Target="https://doi.org/10.1080/17450101.2017.1408950" TargetMode="External" /><Relationship Type="http://schemas.openxmlformats.org/officeDocument/2006/relationships/hyperlink" Id="rId140" Target="https://doi.org/10.1177/0042098009349773" TargetMode="External" /><Relationship Type="http://schemas.openxmlformats.org/officeDocument/2006/relationships/hyperlink" Id="rId150" Target="https://doi.org/10.1371/journal.pmed.1002622" TargetMode="External" /><Relationship Type="http://schemas.openxmlformats.org/officeDocument/2006/relationships/hyperlink" Id="rId134" Target="https://doi.org/10.32866/001c.33873" TargetMode="External" /><Relationship Type="http://schemas.openxmlformats.org/officeDocument/2006/relationships/hyperlink" Id="rId136" Target="https://doi.org/10.5198/jtlu.2016.862" TargetMode="External" /><Relationship Type="http://schemas.openxmlformats.org/officeDocument/2006/relationships/hyperlink" Id="rId124"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6"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81"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15"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44" Target="https://www.icevirtuallibrary.com/isbn/9780727763495" TargetMode="External" /><Relationship Type="http://schemas.openxmlformats.org/officeDocument/2006/relationships/hyperlink" Id="rId128"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9" Target="http://dx.doi.org/10.1038/497181a 10.1038/497181a" TargetMode="External" /><Relationship Type="http://schemas.openxmlformats.org/officeDocument/2006/relationships/hyperlink" Id="rId130"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9" Target="https://cruse.bike" TargetMode="External" /><Relationship Type="http://schemas.openxmlformats.org/officeDocument/2006/relationships/hyperlink" Id="rId20" Target="https://cruse.bike/" TargetMode="External" /><Relationship Type="http://schemas.openxmlformats.org/officeDocument/2006/relationships/hyperlink" Id="rId77" Target="https://cruse.bike/kildare" TargetMode="External" /><Relationship Type="http://schemas.openxmlformats.org/officeDocument/2006/relationships/hyperlink" Id="rId59" Target="https://cruse.bike/kildare/route-types" TargetMode="External" /><Relationship Type="http://schemas.openxmlformats.org/officeDocument/2006/relationships/hyperlink" Id="rId117" Target="https://doi.org/10.1002/jsc.2137" TargetMode="External" /><Relationship Type="http://schemas.openxmlformats.org/officeDocument/2006/relationships/hyperlink" Id="rId132" Target="https://doi.org/10.1007/s10109-020-00342-2" TargetMode="External" /><Relationship Type="http://schemas.openxmlformats.org/officeDocument/2006/relationships/hyperlink" Id="rId122" Target="https://doi.org/10.1016/S0743-0167(00)00035-8" TargetMode="External" /><Relationship Type="http://schemas.openxmlformats.org/officeDocument/2006/relationships/hyperlink" Id="rId120" Target="https://doi.org/10.1016/j.jth.2019.01.008" TargetMode="External" /><Relationship Type="http://schemas.openxmlformats.org/officeDocument/2006/relationships/hyperlink" Id="rId152" Target="https://doi.org/10.1016/j.jth.2021.101066" TargetMode="External" /><Relationship Type="http://schemas.openxmlformats.org/officeDocument/2006/relationships/hyperlink" Id="rId142" Target="https://doi.org/10.1016/j.jtrangeo.2020.102704" TargetMode="External" /><Relationship Type="http://schemas.openxmlformats.org/officeDocument/2006/relationships/hyperlink" Id="rId138" Target="https://doi.org/10.1016/j.tranpol.2020.06.015" TargetMode="External" /><Relationship Type="http://schemas.openxmlformats.org/officeDocument/2006/relationships/hyperlink" Id="rId111" Target="https://doi.org/10.1016/j.trd.2012.04.001" TargetMode="External" /><Relationship Type="http://schemas.openxmlformats.org/officeDocument/2006/relationships/hyperlink" Id="rId126" Target="https://doi.org/10.1080/01441640903187001" TargetMode="External" /><Relationship Type="http://schemas.openxmlformats.org/officeDocument/2006/relationships/hyperlink" Id="rId113" Target="https://doi.org/10.1080/15568318.2018.1432730" TargetMode="External" /><Relationship Type="http://schemas.openxmlformats.org/officeDocument/2006/relationships/hyperlink" Id="rId148" Target="https://doi.org/10.1080/17450101.2017.1408950" TargetMode="External" /><Relationship Type="http://schemas.openxmlformats.org/officeDocument/2006/relationships/hyperlink" Id="rId140" Target="https://doi.org/10.1177/0042098009349773" TargetMode="External" /><Relationship Type="http://schemas.openxmlformats.org/officeDocument/2006/relationships/hyperlink" Id="rId150" Target="https://doi.org/10.1371/journal.pmed.1002622" TargetMode="External" /><Relationship Type="http://schemas.openxmlformats.org/officeDocument/2006/relationships/hyperlink" Id="rId134" Target="https://doi.org/10.32866/001c.33873" TargetMode="External" /><Relationship Type="http://schemas.openxmlformats.org/officeDocument/2006/relationships/hyperlink" Id="rId136" Target="https://doi.org/10.5198/jtlu.2016.862" TargetMode="External" /><Relationship Type="http://schemas.openxmlformats.org/officeDocument/2006/relationships/hyperlink" Id="rId124"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6"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81"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15"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44" Target="https://www.icevirtuallibrary.com/isbn/9780727763495" TargetMode="External" /><Relationship Type="http://schemas.openxmlformats.org/officeDocument/2006/relationships/hyperlink" Id="rId128"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Vidal-Tortosa; Hussein Mahfouz; Elaine Brick; Peter Wright; Gary O’Tool; Dan Brennan; Suzanne Meade</dc:creator>
  <cp:keywords>Cycling, Open-source, Road Safety, Active Travel</cp:keywords>
  <dcterms:created xsi:type="dcterms:W3CDTF">2023-10-07T20:51:33Z</dcterms:created>
  <dcterms:modified xsi:type="dcterms:W3CDTF">2023-10-07T20:51:33Z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2023-10-07</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